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059CD" w14:textId="486C5B32" w:rsidR="00C75CB1" w:rsidRPr="00C75CB1" w:rsidRDefault="008A1E10" w:rsidP="00BA54A0">
      <w:pPr>
        <w:spacing w:after="0"/>
      </w:pPr>
      <w:r w:rsidRPr="00C75CB1">
        <w:t>P</w:t>
      </w:r>
      <w:r w:rsidR="00BA54A0" w:rsidRPr="00C75CB1">
        <w:t>ilot</w:t>
      </w:r>
      <w:r w:rsidRPr="00C75CB1">
        <w:t xml:space="preserve"> Study for </w:t>
      </w:r>
      <w:r w:rsidR="00266269">
        <w:t xml:space="preserve">the </w:t>
      </w:r>
      <w:r w:rsidRPr="00C75CB1">
        <w:t>USDA Rapid Response</w:t>
      </w:r>
      <w:r w:rsidRPr="00C75CB1">
        <w:t xml:space="preserve"> Grant</w:t>
      </w:r>
    </w:p>
    <w:p w14:paraId="1F72C53B" w14:textId="77777777" w:rsidR="00C75CB1" w:rsidRDefault="00C75CB1" w:rsidP="00BA54A0">
      <w:pPr>
        <w:spacing w:after="0"/>
        <w:rPr>
          <w:b/>
          <w:bCs/>
        </w:rPr>
      </w:pPr>
    </w:p>
    <w:p w14:paraId="154CD2CE" w14:textId="4365D902" w:rsidR="00BA54A0" w:rsidRDefault="00C75CB1" w:rsidP="00BA54A0">
      <w:pPr>
        <w:spacing w:after="0"/>
        <w:rPr>
          <w:b/>
          <w:bCs/>
        </w:rPr>
      </w:pPr>
      <w:r w:rsidRPr="00C75CB1">
        <w:rPr>
          <w:b/>
          <w:bCs/>
        </w:rPr>
        <w:t>Understanding epidemiology of AMR bacteria in humans, animals, and the environment</w:t>
      </w:r>
    </w:p>
    <w:p w14:paraId="652721F1" w14:textId="77777777" w:rsidR="00C75CB1" w:rsidRDefault="00C75CB1" w:rsidP="00BA54A0">
      <w:pPr>
        <w:spacing w:after="0"/>
        <w:rPr>
          <w:b/>
          <w:bCs/>
        </w:rPr>
      </w:pPr>
    </w:p>
    <w:p w14:paraId="7ABE7357" w14:textId="79D7DEF2" w:rsidR="00DC66DE" w:rsidRPr="00C75CB1" w:rsidRDefault="00DC66DE" w:rsidP="00BA54A0">
      <w:pPr>
        <w:spacing w:after="0"/>
      </w:pPr>
      <w:r w:rsidRPr="00C75CB1">
        <w:t>Ashely Morgan, Michael Mahero, Xiang Li, and Shigetoshi Eda</w:t>
      </w:r>
    </w:p>
    <w:p w14:paraId="228D654F" w14:textId="77777777" w:rsidR="00DC66DE" w:rsidRDefault="00DC66DE" w:rsidP="00BA54A0">
      <w:pPr>
        <w:spacing w:after="0"/>
        <w:rPr>
          <w:b/>
          <w:bCs/>
        </w:rPr>
      </w:pPr>
    </w:p>
    <w:p w14:paraId="12E7B8BA" w14:textId="549E5175" w:rsidR="00BA54A0" w:rsidRPr="00BA54A0" w:rsidRDefault="00BA54A0" w:rsidP="00BA54A0">
      <w:pPr>
        <w:spacing w:after="0"/>
        <w:rPr>
          <w:b/>
          <w:bCs/>
        </w:rPr>
      </w:pPr>
      <w:r w:rsidRPr="00BA54A0">
        <w:rPr>
          <w:b/>
          <w:bCs/>
        </w:rPr>
        <w:t>Summary</w:t>
      </w:r>
    </w:p>
    <w:p w14:paraId="22E2F703" w14:textId="7871CCEC" w:rsidR="00BA54A0" w:rsidRDefault="00BA54A0" w:rsidP="00BA54A0">
      <w:pPr>
        <w:spacing w:after="0"/>
      </w:pPr>
      <w:r w:rsidRPr="00BA54A0">
        <w:t xml:space="preserve">This pilot study will generate a preliminary cross-site profile of antimicrobial resistance (AMR) genes across human, animal, and environmental interfaces in the Knoxville area. The study will support </w:t>
      </w:r>
      <w:r>
        <w:t>a future</w:t>
      </w:r>
      <w:r w:rsidRPr="00BA54A0">
        <w:t xml:space="preserve"> project by identifying the AMR genes most consistently detected across sites</w:t>
      </w:r>
      <w:r>
        <w:t xml:space="preserve"> of interest (clinical hospital, veterinary hospital, dairy farm, adjacent environment including riparian areas and vegetable crop fields)</w:t>
      </w:r>
      <w:r w:rsidRPr="00BA54A0">
        <w:t xml:space="preserve">, which will help prioritize targets for downstream sequencing, assay refinement, and broader surveillance. The pilot will leverage </w:t>
      </w:r>
      <w:r>
        <w:t>a</w:t>
      </w:r>
      <w:r w:rsidRPr="00BA54A0">
        <w:t xml:space="preserve"> One Health </w:t>
      </w:r>
      <w:r>
        <w:t>approach</w:t>
      </w:r>
      <w:r w:rsidRPr="00BA54A0">
        <w:t>, focusing on transmission-relevant environments where resistant organisms and resistance determinants are likely to move among people, animals, wastewater, soil, and produce systems.</w:t>
      </w:r>
    </w:p>
    <w:p w14:paraId="07EE8415" w14:textId="77777777" w:rsidR="00BA54A0" w:rsidRPr="00BA54A0" w:rsidRDefault="00BA54A0" w:rsidP="00BA54A0">
      <w:pPr>
        <w:spacing w:after="0"/>
      </w:pPr>
    </w:p>
    <w:p w14:paraId="782AE9A8" w14:textId="4838F476" w:rsidR="00BA54A0" w:rsidRDefault="00BA54A0" w:rsidP="00BA54A0">
      <w:pPr>
        <w:spacing w:after="0"/>
      </w:pPr>
      <w:r w:rsidRPr="00BA54A0">
        <w:t>Sampling will include approximately 20 samples from each major site category: UT Hospital, the UT dairy farm, the College of Veterinary Medicine, and environmental sites such as rivers and vegetable fields. At the UT dairy farm, samples will represent animals, soil, and wastewater; at the College of Veterinary Medicine, samples will include diverse animal sources; and environmental samples will capture broader background AMR presence and potential off-site dissemination pathways. This design is intended to provide a rapid baseline snapshot of common AMR genes across settings so the full project can focus on the most relevant genetic targets and the most informative source-pathway combinations.</w:t>
      </w:r>
    </w:p>
    <w:p w14:paraId="0C8E6A06" w14:textId="77777777" w:rsidR="00BA54A0" w:rsidRPr="00BA54A0" w:rsidRDefault="00BA54A0" w:rsidP="00BA54A0">
      <w:pPr>
        <w:spacing w:after="0"/>
      </w:pPr>
    </w:p>
    <w:p w14:paraId="2152BB62" w14:textId="7AD2CD63" w:rsidR="00BA54A0" w:rsidRDefault="00BA54A0" w:rsidP="00BA54A0">
      <w:pPr>
        <w:spacing w:after="0"/>
      </w:pPr>
      <w:r w:rsidRPr="00BA54A0">
        <w:t xml:space="preserve">The pilot will use PE150 Illumina sequencing to generate preliminary </w:t>
      </w:r>
      <w:proofErr w:type="spellStart"/>
      <w:r w:rsidRPr="00BA54A0">
        <w:t>resistome</w:t>
      </w:r>
      <w:proofErr w:type="spellEnd"/>
      <w:r w:rsidRPr="00BA54A0">
        <w:t xml:space="preserve"> </w:t>
      </w:r>
      <w:r>
        <w:t>profiles</w:t>
      </w:r>
      <w:r w:rsidRPr="00BA54A0">
        <w:t xml:space="preserve"> across </w:t>
      </w:r>
      <w:r>
        <w:t xml:space="preserve">the </w:t>
      </w:r>
      <w:r w:rsidRPr="00BA54A0">
        <w:t>200 samples. Data analysis will focus on presence/absence patterns, relative abundance trends, and overlap of common AMR genes across matrices and sites. The resulting dataset will support a short list of priority AMR genes for targeted analysis in the larger project, while also providing an early indication of which environments may act as shared reservoirs or transmission points.</w:t>
      </w:r>
    </w:p>
    <w:p w14:paraId="53C04099" w14:textId="77777777" w:rsidR="00BA54A0" w:rsidRPr="00BA54A0" w:rsidRDefault="00BA54A0" w:rsidP="00BA54A0">
      <w:pPr>
        <w:spacing w:after="0"/>
      </w:pPr>
    </w:p>
    <w:p w14:paraId="7DEB610F" w14:textId="77777777" w:rsidR="00BA54A0" w:rsidRPr="00BA54A0" w:rsidRDefault="00BA54A0" w:rsidP="00BA54A0">
      <w:pPr>
        <w:spacing w:after="0"/>
        <w:rPr>
          <w:b/>
          <w:bCs/>
        </w:rPr>
      </w:pPr>
      <w:r w:rsidRPr="00BA54A0">
        <w:rPr>
          <w:b/>
          <w:bCs/>
        </w:rPr>
        <w:t>Project Rationale</w:t>
      </w:r>
    </w:p>
    <w:p w14:paraId="371F7CDC" w14:textId="7ECA4ABC" w:rsidR="00BA54A0" w:rsidRDefault="00BA54A0" w:rsidP="00BA54A0">
      <w:pPr>
        <w:spacing w:after="0"/>
      </w:pPr>
      <w:r w:rsidRPr="00BA54A0">
        <w:t xml:space="preserve">This pilot is designed to reduce uncertainty before launching </w:t>
      </w:r>
      <w:proofErr w:type="gramStart"/>
      <w:r w:rsidRPr="00BA54A0">
        <w:t>the</w:t>
      </w:r>
      <w:proofErr w:type="gramEnd"/>
      <w:r w:rsidRPr="00BA54A0">
        <w:t xml:space="preserve"> larger study. A small, focused preliminary dataset will help determine whether the same AMR genes are recurring across clinical, agricultural, and environmental samples, or whether each site type has a distinct resistance profile. That information will improve the efficiency of the main project by narrowing the gene panel, refining sample priorities, and reducing the risk of overspending on broad sequencing before target selection is optimized.</w:t>
      </w:r>
      <w:r w:rsidR="00813F72">
        <w:t xml:space="preserve"> T</w:t>
      </w:r>
      <w:r w:rsidRPr="00BA54A0">
        <w:t>hese preliminary results will directly inform experimental design, assay selection, and interpretation of source-to-environment movement of resistance genes.</w:t>
      </w:r>
    </w:p>
    <w:p w14:paraId="1F1D4CE9" w14:textId="77777777" w:rsidR="00BA54A0" w:rsidRPr="00BA54A0" w:rsidRDefault="00BA54A0" w:rsidP="00BA54A0">
      <w:pPr>
        <w:spacing w:after="0"/>
      </w:pPr>
    </w:p>
    <w:tbl>
      <w:tblPr>
        <w:tblW w:w="10770" w:type="dxa"/>
        <w:tblCellSpacing w:w="15" w:type="dxa"/>
        <w:tblCellMar>
          <w:top w:w="15" w:type="dxa"/>
          <w:left w:w="15" w:type="dxa"/>
          <w:bottom w:w="15" w:type="dxa"/>
          <w:right w:w="15" w:type="dxa"/>
        </w:tblCellMar>
        <w:tblLook w:val="04A0" w:firstRow="1" w:lastRow="0" w:firstColumn="1" w:lastColumn="0" w:noHBand="0" w:noVBand="1"/>
      </w:tblPr>
      <w:tblGrid>
        <w:gridCol w:w="8404"/>
        <w:gridCol w:w="2366"/>
      </w:tblGrid>
      <w:tr w:rsidR="00BA54A0" w:rsidRPr="00BA54A0" w14:paraId="745A19D3" w14:textId="77777777" w:rsidTr="00BA54A0">
        <w:trPr>
          <w:tblHeader/>
          <w:tblCellSpacing w:w="15" w:type="dxa"/>
        </w:trPr>
        <w:tc>
          <w:tcPr>
            <w:tcW w:w="8359" w:type="dxa"/>
            <w:vAlign w:val="center"/>
          </w:tcPr>
          <w:p w14:paraId="522D729B" w14:textId="02754CFF" w:rsidR="00BA54A0" w:rsidRPr="00BA54A0" w:rsidRDefault="00BA54A0" w:rsidP="00BA54A0">
            <w:pPr>
              <w:spacing w:after="0"/>
              <w:rPr>
                <w:b/>
                <w:bCs/>
              </w:rPr>
            </w:pPr>
            <w:r w:rsidRPr="00BA54A0">
              <w:rPr>
                <w:b/>
                <w:bCs/>
              </w:rPr>
              <w:t>Budget Summary</w:t>
            </w:r>
          </w:p>
        </w:tc>
        <w:tc>
          <w:tcPr>
            <w:tcW w:w="2321" w:type="dxa"/>
            <w:vAlign w:val="center"/>
          </w:tcPr>
          <w:p w14:paraId="34928737" w14:textId="1F221660" w:rsidR="00BA54A0" w:rsidRPr="00BA54A0" w:rsidRDefault="00BA54A0" w:rsidP="00BA54A0">
            <w:pPr>
              <w:spacing w:after="0"/>
            </w:pPr>
          </w:p>
        </w:tc>
      </w:tr>
    </w:tbl>
    <w:p w14:paraId="3F9DB37B" w14:textId="77777777" w:rsidR="00BA54A0" w:rsidRPr="00BA54A0" w:rsidRDefault="00BA54A0" w:rsidP="00BA54A0">
      <w:pPr>
        <w:spacing w:after="0"/>
        <w:rPr>
          <w:vanish/>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45"/>
        <w:gridCol w:w="2160"/>
      </w:tblGrid>
      <w:tr w:rsidR="00BA54A0" w:rsidRPr="00BA54A0" w14:paraId="165519A6" w14:textId="77777777" w:rsidTr="00813F72">
        <w:trPr>
          <w:tblHeader/>
          <w:tblCellSpacing w:w="15" w:type="dxa"/>
        </w:trPr>
        <w:tc>
          <w:tcPr>
            <w:tcW w:w="8500" w:type="dxa"/>
            <w:vAlign w:val="center"/>
            <w:hideMark/>
          </w:tcPr>
          <w:p w14:paraId="1FFB4B07" w14:textId="77777777" w:rsidR="00BA54A0" w:rsidRPr="00BA54A0" w:rsidRDefault="00BA54A0" w:rsidP="00BA54A0">
            <w:pPr>
              <w:spacing w:after="0"/>
              <w:rPr>
                <w:b/>
                <w:bCs/>
              </w:rPr>
            </w:pPr>
            <w:r w:rsidRPr="00BA54A0">
              <w:rPr>
                <w:b/>
                <w:bCs/>
              </w:rPr>
              <w:t>Category</w:t>
            </w:r>
          </w:p>
        </w:tc>
        <w:tc>
          <w:tcPr>
            <w:tcW w:w="2115" w:type="dxa"/>
            <w:vAlign w:val="center"/>
            <w:hideMark/>
          </w:tcPr>
          <w:p w14:paraId="067A211D" w14:textId="77777777" w:rsidR="00BA54A0" w:rsidRPr="00BA54A0" w:rsidRDefault="00BA54A0" w:rsidP="00BA54A0">
            <w:pPr>
              <w:spacing w:after="0"/>
              <w:rPr>
                <w:b/>
                <w:bCs/>
              </w:rPr>
            </w:pPr>
            <w:r w:rsidRPr="00BA54A0">
              <w:rPr>
                <w:b/>
                <w:bCs/>
              </w:rPr>
              <w:t>Estimated Cost</w:t>
            </w:r>
          </w:p>
        </w:tc>
      </w:tr>
      <w:tr w:rsidR="00BA54A0" w:rsidRPr="00BA54A0" w14:paraId="22874DAD" w14:textId="77777777" w:rsidTr="00813F72">
        <w:trPr>
          <w:tblCellSpacing w:w="15" w:type="dxa"/>
        </w:trPr>
        <w:tc>
          <w:tcPr>
            <w:tcW w:w="8500" w:type="dxa"/>
            <w:vAlign w:val="center"/>
            <w:hideMark/>
          </w:tcPr>
          <w:p w14:paraId="59C5AD0D" w14:textId="77777777" w:rsidR="00BA54A0" w:rsidRPr="00BA54A0" w:rsidRDefault="00BA54A0" w:rsidP="00BA54A0">
            <w:pPr>
              <w:spacing w:after="0"/>
            </w:pPr>
            <w:r w:rsidRPr="00BA54A0">
              <w:t>Sequencing/data generation: 200 samples at ~$28 per sample</w:t>
            </w:r>
          </w:p>
        </w:tc>
        <w:tc>
          <w:tcPr>
            <w:tcW w:w="2115" w:type="dxa"/>
            <w:vAlign w:val="center"/>
            <w:hideMark/>
          </w:tcPr>
          <w:p w14:paraId="0F8CAAF6" w14:textId="77777777" w:rsidR="00BA54A0" w:rsidRPr="00BA54A0" w:rsidRDefault="00BA54A0" w:rsidP="00813F72">
            <w:pPr>
              <w:spacing w:after="0"/>
              <w:jc w:val="right"/>
            </w:pPr>
            <w:r w:rsidRPr="00BA54A0">
              <w:t>$5,600</w:t>
            </w:r>
          </w:p>
        </w:tc>
      </w:tr>
      <w:tr w:rsidR="00BA54A0" w:rsidRPr="00BA54A0" w14:paraId="4000FBD4" w14:textId="77777777" w:rsidTr="00813F72">
        <w:trPr>
          <w:tblCellSpacing w:w="15" w:type="dxa"/>
        </w:trPr>
        <w:tc>
          <w:tcPr>
            <w:tcW w:w="8500" w:type="dxa"/>
            <w:vAlign w:val="center"/>
            <w:hideMark/>
          </w:tcPr>
          <w:p w14:paraId="3BBBA311" w14:textId="77777777" w:rsidR="00BA54A0" w:rsidRPr="00BA54A0" w:rsidRDefault="00BA54A0" w:rsidP="00BA54A0">
            <w:pPr>
              <w:spacing w:after="0"/>
            </w:pPr>
            <w:r w:rsidRPr="00BA54A0">
              <w:t>Sampling supplies</w:t>
            </w:r>
          </w:p>
        </w:tc>
        <w:tc>
          <w:tcPr>
            <w:tcW w:w="2115" w:type="dxa"/>
            <w:vAlign w:val="center"/>
            <w:hideMark/>
          </w:tcPr>
          <w:p w14:paraId="286B8603" w14:textId="77777777" w:rsidR="00BA54A0" w:rsidRPr="00BA54A0" w:rsidRDefault="00BA54A0" w:rsidP="00813F72">
            <w:pPr>
              <w:spacing w:after="0"/>
              <w:jc w:val="right"/>
            </w:pPr>
            <w:r w:rsidRPr="00BA54A0">
              <w:t>$250</w:t>
            </w:r>
          </w:p>
        </w:tc>
      </w:tr>
      <w:tr w:rsidR="00BA54A0" w:rsidRPr="00BA54A0" w14:paraId="7BF9D4AE" w14:textId="77777777" w:rsidTr="00813F72">
        <w:trPr>
          <w:tblCellSpacing w:w="15" w:type="dxa"/>
        </w:trPr>
        <w:tc>
          <w:tcPr>
            <w:tcW w:w="8500" w:type="dxa"/>
            <w:vAlign w:val="center"/>
            <w:hideMark/>
          </w:tcPr>
          <w:p w14:paraId="00C9CC96" w14:textId="77777777" w:rsidR="00BA54A0" w:rsidRPr="00BA54A0" w:rsidRDefault="00BA54A0" w:rsidP="00BA54A0">
            <w:pPr>
              <w:spacing w:after="0"/>
            </w:pPr>
            <w:r w:rsidRPr="00BA54A0">
              <w:t>1 TB external hard drive</w:t>
            </w:r>
          </w:p>
        </w:tc>
        <w:tc>
          <w:tcPr>
            <w:tcW w:w="2115" w:type="dxa"/>
            <w:vAlign w:val="center"/>
            <w:hideMark/>
          </w:tcPr>
          <w:p w14:paraId="58BA3E6E" w14:textId="77777777" w:rsidR="00BA54A0" w:rsidRPr="00BA54A0" w:rsidRDefault="00BA54A0" w:rsidP="00813F72">
            <w:pPr>
              <w:spacing w:after="0"/>
              <w:jc w:val="right"/>
            </w:pPr>
            <w:r w:rsidRPr="00BA54A0">
              <w:t>$80</w:t>
            </w:r>
          </w:p>
        </w:tc>
      </w:tr>
      <w:tr w:rsidR="00BA54A0" w:rsidRPr="00BA54A0" w14:paraId="6A81349C" w14:textId="77777777" w:rsidTr="00813F72">
        <w:trPr>
          <w:tblCellSpacing w:w="15" w:type="dxa"/>
        </w:trPr>
        <w:tc>
          <w:tcPr>
            <w:tcW w:w="8500" w:type="dxa"/>
            <w:vAlign w:val="center"/>
            <w:hideMark/>
          </w:tcPr>
          <w:p w14:paraId="3A6110E5" w14:textId="77777777" w:rsidR="00BA54A0" w:rsidRPr="00BA54A0" w:rsidRDefault="00BA54A0" w:rsidP="00BA54A0">
            <w:pPr>
              <w:spacing w:after="0"/>
            </w:pPr>
            <w:r w:rsidRPr="00BA54A0">
              <w:t>Miscellaneous consumables/contingency</w:t>
            </w:r>
          </w:p>
        </w:tc>
        <w:tc>
          <w:tcPr>
            <w:tcW w:w="2115" w:type="dxa"/>
            <w:vAlign w:val="center"/>
            <w:hideMark/>
          </w:tcPr>
          <w:p w14:paraId="38D1FA6F" w14:textId="77777777" w:rsidR="00BA54A0" w:rsidRPr="00BA54A0" w:rsidRDefault="00BA54A0" w:rsidP="00813F72">
            <w:pPr>
              <w:spacing w:after="0"/>
              <w:jc w:val="right"/>
            </w:pPr>
            <w:r w:rsidRPr="00BA54A0">
              <w:t>$70</w:t>
            </w:r>
          </w:p>
        </w:tc>
      </w:tr>
      <w:tr w:rsidR="00BA54A0" w:rsidRPr="00BA54A0" w14:paraId="6FBBBD46" w14:textId="77777777" w:rsidTr="00813F72">
        <w:trPr>
          <w:tblCellSpacing w:w="15" w:type="dxa"/>
        </w:trPr>
        <w:tc>
          <w:tcPr>
            <w:tcW w:w="8500" w:type="dxa"/>
            <w:vAlign w:val="center"/>
            <w:hideMark/>
          </w:tcPr>
          <w:p w14:paraId="79CC3F07" w14:textId="77777777" w:rsidR="00BA54A0" w:rsidRPr="00BA54A0" w:rsidRDefault="00BA54A0" w:rsidP="00813F72">
            <w:pPr>
              <w:spacing w:after="0"/>
              <w:jc w:val="right"/>
              <w:rPr>
                <w:b/>
                <w:bCs/>
              </w:rPr>
            </w:pPr>
            <w:r w:rsidRPr="00BA54A0">
              <w:rPr>
                <w:b/>
                <w:bCs/>
              </w:rPr>
              <w:t>Total</w:t>
            </w:r>
          </w:p>
        </w:tc>
        <w:tc>
          <w:tcPr>
            <w:tcW w:w="2115" w:type="dxa"/>
            <w:vAlign w:val="center"/>
            <w:hideMark/>
          </w:tcPr>
          <w:p w14:paraId="2B9AE123" w14:textId="77777777" w:rsidR="00BA54A0" w:rsidRPr="00BA54A0" w:rsidRDefault="00BA54A0" w:rsidP="00813F72">
            <w:pPr>
              <w:spacing w:after="0"/>
              <w:jc w:val="right"/>
              <w:rPr>
                <w:b/>
                <w:bCs/>
              </w:rPr>
            </w:pPr>
            <w:r w:rsidRPr="00BA54A0">
              <w:rPr>
                <w:b/>
                <w:bCs/>
              </w:rPr>
              <w:t>$6,000</w:t>
            </w:r>
          </w:p>
        </w:tc>
      </w:tr>
    </w:tbl>
    <w:p w14:paraId="58516177" w14:textId="27938CBA" w:rsidR="00BA54A0" w:rsidRPr="00BA54A0" w:rsidRDefault="00BA54A0" w:rsidP="00BA54A0">
      <w:pPr>
        <w:spacing w:after="0"/>
      </w:pPr>
    </w:p>
    <w:sectPr w:rsidR="00BA54A0" w:rsidRPr="00BA54A0" w:rsidSect="00BA54A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5ACF0" w14:textId="77777777" w:rsidR="006345CE" w:rsidRDefault="006345CE" w:rsidP="00397826">
      <w:pPr>
        <w:spacing w:after="0" w:line="240" w:lineRule="auto"/>
      </w:pPr>
      <w:r>
        <w:separator/>
      </w:r>
    </w:p>
  </w:endnote>
  <w:endnote w:type="continuationSeparator" w:id="0">
    <w:p w14:paraId="7FA0BF6A" w14:textId="77777777" w:rsidR="006345CE" w:rsidRDefault="006345CE" w:rsidP="00397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63AB1" w14:textId="77777777" w:rsidR="006345CE" w:rsidRDefault="006345CE" w:rsidP="00397826">
      <w:pPr>
        <w:spacing w:after="0" w:line="240" w:lineRule="auto"/>
      </w:pPr>
      <w:r>
        <w:separator/>
      </w:r>
    </w:p>
  </w:footnote>
  <w:footnote w:type="continuationSeparator" w:id="0">
    <w:p w14:paraId="318B3B22" w14:textId="77777777" w:rsidR="006345CE" w:rsidRDefault="006345CE" w:rsidP="003978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E4A19"/>
    <w:multiLevelType w:val="hybridMultilevel"/>
    <w:tmpl w:val="E0720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174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4A0"/>
    <w:rsid w:val="0004534A"/>
    <w:rsid w:val="00060796"/>
    <w:rsid w:val="001D680A"/>
    <w:rsid w:val="00266269"/>
    <w:rsid w:val="002B33B4"/>
    <w:rsid w:val="00397826"/>
    <w:rsid w:val="005147AD"/>
    <w:rsid w:val="00516659"/>
    <w:rsid w:val="006345CE"/>
    <w:rsid w:val="00813F72"/>
    <w:rsid w:val="008A1E10"/>
    <w:rsid w:val="00AB2ED7"/>
    <w:rsid w:val="00B46465"/>
    <w:rsid w:val="00BA54A0"/>
    <w:rsid w:val="00C75CB1"/>
    <w:rsid w:val="00CA608C"/>
    <w:rsid w:val="00DA0ACE"/>
    <w:rsid w:val="00DA4889"/>
    <w:rsid w:val="00DC66DE"/>
    <w:rsid w:val="00FF6C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0ABB6"/>
  <w15:chartTrackingRefBased/>
  <w15:docId w15:val="{3994A82F-C334-4A4D-8E0A-CF63ED22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465"/>
  </w:style>
  <w:style w:type="paragraph" w:styleId="Heading1">
    <w:name w:val="heading 1"/>
    <w:basedOn w:val="Normal"/>
    <w:next w:val="Normal"/>
    <w:link w:val="Heading1Char"/>
    <w:uiPriority w:val="9"/>
    <w:qFormat/>
    <w:rsid w:val="00B46465"/>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B46465"/>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46465"/>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46465"/>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B46465"/>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B46465"/>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B46465"/>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B46465"/>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B46465"/>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12">
    <w:name w:val="Times 12"/>
    <w:basedOn w:val="Normal"/>
    <w:autoRedefine/>
    <w:rsid w:val="00516659"/>
    <w:pPr>
      <w:spacing w:after="0" w:line="276" w:lineRule="auto"/>
    </w:pPr>
    <w:rPr>
      <w:rFonts w:ascii="Times New Roman" w:eastAsia="Arial" w:hAnsi="Times New Roman" w:cs="Arial"/>
      <w:lang w:val="en"/>
    </w:rPr>
  </w:style>
  <w:style w:type="character" w:customStyle="1" w:styleId="Heading1Char">
    <w:name w:val="Heading 1 Char"/>
    <w:basedOn w:val="DefaultParagraphFont"/>
    <w:link w:val="Heading1"/>
    <w:uiPriority w:val="9"/>
    <w:rsid w:val="00B46465"/>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B4646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46465"/>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46465"/>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B46465"/>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B46465"/>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B46465"/>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B46465"/>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B46465"/>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B46465"/>
    <w:pPr>
      <w:spacing w:line="240" w:lineRule="auto"/>
    </w:pPr>
    <w:rPr>
      <w:b/>
      <w:bCs/>
      <w:smallCaps/>
      <w:color w:val="1F497D" w:themeColor="text2"/>
    </w:rPr>
  </w:style>
  <w:style w:type="paragraph" w:styleId="Title">
    <w:name w:val="Title"/>
    <w:basedOn w:val="Normal"/>
    <w:next w:val="Normal"/>
    <w:link w:val="TitleChar"/>
    <w:uiPriority w:val="10"/>
    <w:qFormat/>
    <w:rsid w:val="00B46465"/>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B46465"/>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B46465"/>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B46465"/>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B46465"/>
    <w:rPr>
      <w:b/>
      <w:bCs/>
    </w:rPr>
  </w:style>
  <w:style w:type="character" w:styleId="Emphasis">
    <w:name w:val="Emphasis"/>
    <w:basedOn w:val="DefaultParagraphFont"/>
    <w:uiPriority w:val="20"/>
    <w:qFormat/>
    <w:rsid w:val="00B46465"/>
    <w:rPr>
      <w:i/>
      <w:iCs/>
    </w:rPr>
  </w:style>
  <w:style w:type="paragraph" w:styleId="NoSpacing">
    <w:name w:val="No Spacing"/>
    <w:uiPriority w:val="1"/>
    <w:qFormat/>
    <w:rsid w:val="00B46465"/>
    <w:pPr>
      <w:spacing w:after="0" w:line="240" w:lineRule="auto"/>
    </w:pPr>
  </w:style>
  <w:style w:type="paragraph" w:styleId="Quote">
    <w:name w:val="Quote"/>
    <w:basedOn w:val="Normal"/>
    <w:next w:val="Normal"/>
    <w:link w:val="QuoteChar"/>
    <w:uiPriority w:val="29"/>
    <w:qFormat/>
    <w:rsid w:val="00B46465"/>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B46465"/>
    <w:rPr>
      <w:color w:val="1F497D" w:themeColor="text2"/>
      <w:sz w:val="24"/>
      <w:szCs w:val="24"/>
    </w:rPr>
  </w:style>
  <w:style w:type="paragraph" w:styleId="IntenseQuote">
    <w:name w:val="Intense Quote"/>
    <w:basedOn w:val="Normal"/>
    <w:next w:val="Normal"/>
    <w:link w:val="IntenseQuoteChar"/>
    <w:uiPriority w:val="30"/>
    <w:qFormat/>
    <w:rsid w:val="00B46465"/>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B46465"/>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B46465"/>
    <w:rPr>
      <w:i/>
      <w:iCs/>
      <w:color w:val="595959" w:themeColor="text1" w:themeTint="A6"/>
    </w:rPr>
  </w:style>
  <w:style w:type="character" w:styleId="IntenseEmphasis">
    <w:name w:val="Intense Emphasis"/>
    <w:basedOn w:val="DefaultParagraphFont"/>
    <w:uiPriority w:val="21"/>
    <w:qFormat/>
    <w:rsid w:val="00B46465"/>
    <w:rPr>
      <w:b/>
      <w:bCs/>
      <w:i/>
      <w:iCs/>
    </w:rPr>
  </w:style>
  <w:style w:type="character" w:styleId="SubtleReference">
    <w:name w:val="Subtle Reference"/>
    <w:basedOn w:val="DefaultParagraphFont"/>
    <w:uiPriority w:val="31"/>
    <w:qFormat/>
    <w:rsid w:val="00B4646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46465"/>
    <w:rPr>
      <w:b/>
      <w:bCs/>
      <w:smallCaps/>
      <w:color w:val="1F497D" w:themeColor="text2"/>
      <w:u w:val="single"/>
    </w:rPr>
  </w:style>
  <w:style w:type="character" w:styleId="BookTitle">
    <w:name w:val="Book Title"/>
    <w:basedOn w:val="DefaultParagraphFont"/>
    <w:uiPriority w:val="33"/>
    <w:qFormat/>
    <w:rsid w:val="00B46465"/>
    <w:rPr>
      <w:b/>
      <w:bCs/>
      <w:smallCaps/>
      <w:spacing w:val="10"/>
    </w:rPr>
  </w:style>
  <w:style w:type="paragraph" w:styleId="TOCHeading">
    <w:name w:val="TOC Heading"/>
    <w:basedOn w:val="Heading1"/>
    <w:next w:val="Normal"/>
    <w:uiPriority w:val="39"/>
    <w:semiHidden/>
    <w:unhideWhenUsed/>
    <w:qFormat/>
    <w:rsid w:val="00B46465"/>
    <w:pPr>
      <w:outlineLvl w:val="9"/>
    </w:pPr>
  </w:style>
  <w:style w:type="paragraph" w:styleId="ListParagraph">
    <w:name w:val="List Paragraph"/>
    <w:basedOn w:val="Normal"/>
    <w:uiPriority w:val="34"/>
    <w:qFormat/>
    <w:rsid w:val="00BA54A0"/>
    <w:pPr>
      <w:ind w:left="720"/>
      <w:contextualSpacing/>
    </w:pPr>
  </w:style>
  <w:style w:type="paragraph" w:styleId="Header">
    <w:name w:val="header"/>
    <w:basedOn w:val="Normal"/>
    <w:link w:val="HeaderChar"/>
    <w:uiPriority w:val="99"/>
    <w:unhideWhenUsed/>
    <w:rsid w:val="00397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826"/>
  </w:style>
  <w:style w:type="paragraph" w:styleId="Footer">
    <w:name w:val="footer"/>
    <w:basedOn w:val="Normal"/>
    <w:link w:val="FooterChar"/>
    <w:uiPriority w:val="99"/>
    <w:unhideWhenUsed/>
    <w:rsid w:val="003978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imes New Roman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Ashley</dc:creator>
  <cp:keywords/>
  <dc:description/>
  <cp:lastModifiedBy>Shige Eda</cp:lastModifiedBy>
  <cp:revision>2</cp:revision>
  <dcterms:created xsi:type="dcterms:W3CDTF">2026-05-14T15:52:00Z</dcterms:created>
  <dcterms:modified xsi:type="dcterms:W3CDTF">2026-05-14T15:52:00Z</dcterms:modified>
</cp:coreProperties>
</file>