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A029" w14:textId="4E825541" w:rsidR="00E65F25" w:rsidRPr="00E65F25" w:rsidRDefault="00E65F25" w:rsidP="00E65F25">
      <w:pPr>
        <w:snapToGrid/>
        <w:spacing w:before="100" w:beforeAutospacing="1" w:after="100" w:afterAutospacing="1"/>
        <w:contextualSpacing w:val="0"/>
        <w:jc w:val="center"/>
        <w:outlineLvl w:val="2"/>
        <w:rPr>
          <w:rFonts w:eastAsia="Times New Roman" w:cs="Times New Roman"/>
          <w:kern w:val="0"/>
          <w:sz w:val="27"/>
          <w:szCs w:val="27"/>
          <w14:ligatures w14:val="none"/>
        </w:rPr>
      </w:pPr>
      <w:r w:rsidRPr="00E65F25">
        <w:rPr>
          <w:rFonts w:eastAsia="Times New Roman" w:cs="Times New Roman"/>
          <w:kern w:val="0"/>
          <w:sz w:val="27"/>
          <w:szCs w:val="27"/>
          <w14:ligatures w14:val="none"/>
        </w:rPr>
        <w:t xml:space="preserve">Ecology-Informed </w:t>
      </w:r>
      <w:r w:rsidR="002A0FB3">
        <w:rPr>
          <w:rFonts w:eastAsia="Times New Roman" w:cs="Times New Roman"/>
          <w:kern w:val="0"/>
          <w:sz w:val="27"/>
          <w:szCs w:val="27"/>
          <w14:ligatures w14:val="none"/>
        </w:rPr>
        <w:t>Microbiome Modeling</w:t>
      </w:r>
      <w:r w:rsidRPr="00E65F25">
        <w:rPr>
          <w:rFonts w:eastAsia="Times New Roman" w:cs="Times New Roman"/>
          <w:kern w:val="0"/>
          <w:sz w:val="27"/>
          <w:szCs w:val="27"/>
          <w14:ligatures w14:val="none"/>
        </w:rPr>
        <w:t xml:space="preserve"> for Microbial Dispersal and Persistence</w:t>
      </w:r>
      <w:r w:rsidR="002A0FB3">
        <w:rPr>
          <w:rFonts w:eastAsia="Times New Roman" w:cs="Times New Roman"/>
          <w:kern w:val="0"/>
          <w:sz w:val="27"/>
          <w:szCs w:val="27"/>
          <w14:ligatures w14:val="none"/>
        </w:rPr>
        <w:t xml:space="preserve"> in Indoor Environments</w:t>
      </w:r>
    </w:p>
    <w:p w14:paraId="32D2398F"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b/>
          <w:bCs/>
          <w:kern w:val="0"/>
          <w14:ligatures w14:val="none"/>
        </w:rPr>
        <w:t>Short description</w:t>
      </w:r>
    </w:p>
    <w:p w14:paraId="45F6F5AC" w14:textId="651B5AAF"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kern w:val="0"/>
          <w14:ligatures w14:val="none"/>
        </w:rPr>
        <w:t xml:space="preserve">Can ecological assembly processes and indoor environmental </w:t>
      </w:r>
      <w:r w:rsidR="002A0FB3">
        <w:rPr>
          <w:rFonts w:eastAsia="Times New Roman" w:cs="Times New Roman"/>
          <w:kern w:val="0"/>
          <w14:ligatures w14:val="none"/>
        </w:rPr>
        <w:t>modeling</w:t>
      </w:r>
      <w:r w:rsidRPr="00E65F25">
        <w:rPr>
          <w:rFonts w:eastAsia="Times New Roman" w:cs="Times New Roman"/>
          <w:kern w:val="0"/>
          <w14:ligatures w14:val="none"/>
        </w:rPr>
        <w:t xml:space="preserve"> help explain when localized microbial </w:t>
      </w:r>
      <w:r w:rsidR="002A0FB3">
        <w:rPr>
          <w:rFonts w:eastAsia="Times New Roman" w:cs="Times New Roman"/>
          <w:kern w:val="0"/>
          <w14:ligatures w14:val="none"/>
        </w:rPr>
        <w:t>population</w:t>
      </w:r>
      <w:r w:rsidRPr="00E65F25">
        <w:rPr>
          <w:rFonts w:eastAsia="Times New Roman" w:cs="Times New Roman"/>
          <w:kern w:val="0"/>
          <w14:ligatures w14:val="none"/>
        </w:rPr>
        <w:t>s persist and disperse across connected indoor spaces, potentially increasing opportunities for pathogen exposure?</w:t>
      </w:r>
    </w:p>
    <w:p w14:paraId="2E3B8F58" w14:textId="77777777" w:rsidR="00E65F25" w:rsidRPr="00E65F25" w:rsidRDefault="00E65F25" w:rsidP="00E65F25">
      <w:pPr>
        <w:snapToGrid/>
        <w:spacing w:before="100" w:beforeAutospacing="1" w:after="100" w:afterAutospacing="1"/>
        <w:contextualSpacing w:val="0"/>
        <w:outlineLvl w:val="2"/>
        <w:rPr>
          <w:rFonts w:eastAsia="Times New Roman" w:cs="Times New Roman"/>
          <w:b/>
          <w:bCs/>
          <w:kern w:val="0"/>
          <w14:ligatures w14:val="none"/>
        </w:rPr>
      </w:pPr>
      <w:r w:rsidRPr="00E65F25">
        <w:rPr>
          <w:rFonts w:eastAsia="Times New Roman" w:cs="Times New Roman"/>
          <w:b/>
          <w:bCs/>
          <w:kern w:val="0"/>
          <w14:ligatures w14:val="none"/>
        </w:rPr>
        <w:t>Description</w:t>
      </w:r>
    </w:p>
    <w:p w14:paraId="07C2BCD3" w14:textId="0AF2E815" w:rsidR="00302FF5" w:rsidRPr="00302FF5" w:rsidRDefault="00302FF5" w:rsidP="00302FF5">
      <w:pPr>
        <w:snapToGrid/>
        <w:spacing w:before="100" w:beforeAutospacing="1" w:after="100" w:afterAutospacing="1"/>
        <w:contextualSpacing w:val="0"/>
        <w:rPr>
          <w:rFonts w:eastAsia="Times New Roman"/>
          <w:kern w:val="0"/>
          <w14:ligatures w14:val="none"/>
        </w:rPr>
      </w:pPr>
      <w:r w:rsidRPr="00302FF5">
        <w:rPr>
          <w:rFonts w:eastAsia="Times New Roman"/>
          <w:kern w:val="0"/>
          <w14:ligatures w14:val="none"/>
        </w:rPr>
        <w:t>Indoor environments, occupants, and microbiomes constitute a system of ecosystems with extensive interactions that impact one another. Understanding the interactions between these systems is essential to develop strategies for effective management of the indoor environment and its inhabitants to enhance public health and well-being.</w:t>
      </w:r>
    </w:p>
    <w:p w14:paraId="54D2A2EC" w14:textId="77777777" w:rsidR="00302FF5" w:rsidRPr="00302FF5" w:rsidRDefault="00302FF5" w:rsidP="00302FF5">
      <w:pPr>
        <w:snapToGrid/>
        <w:spacing w:before="100" w:beforeAutospacing="1" w:after="100" w:afterAutospacing="1"/>
        <w:contextualSpacing w:val="0"/>
        <w:rPr>
          <w:rFonts w:eastAsia="Times New Roman" w:cs="Times New Roman"/>
          <w:kern w:val="0"/>
          <w14:ligatures w14:val="none"/>
        </w:rPr>
      </w:pPr>
      <w:r w:rsidRPr="00302FF5">
        <w:rPr>
          <w:rFonts w:eastAsia="Times New Roman" w:cs="Times New Roman"/>
          <w:kern w:val="0"/>
          <w14:ligatures w14:val="none"/>
        </w:rPr>
        <w:t>Microorganisms introduced into buildings may disappear rapidly, persist locally, or disperse across connected spaces. However, the ecological and environmental processes governing these different outcomes remain poorly understood. Microbial communities are shaped by deterministic selection, dispersal-related processes, and stochastic events, while indoor factors such as ventilation, temperature, humidity, spatial connectivity, and human occupancy may further influence their persistence and distribution.</w:t>
      </w:r>
    </w:p>
    <w:p w14:paraId="2FC12162" w14:textId="77777777" w:rsidR="00302FF5" w:rsidRPr="00302FF5" w:rsidRDefault="00302FF5" w:rsidP="00302FF5">
      <w:pPr>
        <w:snapToGrid/>
        <w:spacing w:before="100" w:beforeAutospacing="1" w:after="100" w:afterAutospacing="1"/>
        <w:contextualSpacing w:val="0"/>
        <w:rPr>
          <w:rFonts w:eastAsia="Times New Roman" w:cs="Times New Roman"/>
          <w:kern w:val="0"/>
          <w14:ligatures w14:val="none"/>
        </w:rPr>
      </w:pPr>
      <w:r w:rsidRPr="00302FF5">
        <w:rPr>
          <w:rFonts w:eastAsia="Times New Roman" w:cs="Times New Roman"/>
          <w:kern w:val="0"/>
          <w14:ligatures w14:val="none"/>
        </w:rPr>
        <w:t xml:space="preserve">This working group proposes to integrate existing long-term building microbiome monitoring datasets with ecological community-assembly modeling, including the Normalized Stochasticity Ratio (NST) and </w:t>
      </w:r>
      <w:proofErr w:type="spellStart"/>
      <w:r w:rsidRPr="00302FF5">
        <w:rPr>
          <w:rFonts w:eastAsia="Times New Roman" w:cs="Times New Roman"/>
          <w:kern w:val="0"/>
          <w14:ligatures w14:val="none"/>
        </w:rPr>
        <w:t>iCAMP</w:t>
      </w:r>
      <w:proofErr w:type="spellEnd"/>
      <w:r w:rsidRPr="00302FF5">
        <w:rPr>
          <w:rFonts w:eastAsia="Times New Roman" w:cs="Times New Roman"/>
          <w:kern w:val="0"/>
          <w14:ligatures w14:val="none"/>
        </w:rPr>
        <w:t>, to characterize the relative roles of deterministic and stochastic processes and identify ecological signatures associated with microbial persistence and spatial distribution.</w:t>
      </w:r>
    </w:p>
    <w:p w14:paraId="1F2A8ACA" w14:textId="77777777" w:rsidR="00302FF5" w:rsidRPr="00302FF5" w:rsidRDefault="00302FF5" w:rsidP="00302FF5">
      <w:pPr>
        <w:snapToGrid/>
        <w:spacing w:before="100" w:beforeAutospacing="1" w:after="100" w:afterAutospacing="1"/>
        <w:contextualSpacing w:val="0"/>
        <w:rPr>
          <w:rFonts w:eastAsia="Times New Roman" w:cs="Times New Roman"/>
          <w:kern w:val="0"/>
          <w14:ligatures w14:val="none"/>
        </w:rPr>
      </w:pPr>
      <w:r w:rsidRPr="00302FF5">
        <w:rPr>
          <w:rFonts w:eastAsia="Times New Roman" w:cs="Times New Roman"/>
          <w:kern w:val="0"/>
          <w14:ligatures w14:val="none"/>
        </w:rPr>
        <w:t xml:space="preserve">We will further explore machine-learning approaches that integrate microbial community profiles, ecological-process estimates, spatial information, and indoor environmental variables to identify conditions associated with microbial persistence and dispersal across indoor spaces. A central goal will be to determine when the inclusion of ecological processes improves prediction </w:t>
      </w:r>
      <w:r w:rsidRPr="00302FF5">
        <w:rPr>
          <w:rFonts w:eastAsia="Times New Roman" w:cs="Times New Roman"/>
          <w:kern w:val="0"/>
          <w14:ligatures w14:val="none"/>
        </w:rPr>
        <w:lastRenderedPageBreak/>
        <w:t>beyond environmental modeling alone and whether identified relationships are transferable across buildings, occupancy patterns, and microbial systems.</w:t>
      </w:r>
    </w:p>
    <w:p w14:paraId="42017FE7" w14:textId="65448D62" w:rsidR="00E65F25" w:rsidRPr="00302FF5" w:rsidRDefault="00302FF5" w:rsidP="00302FF5">
      <w:pPr>
        <w:snapToGrid/>
        <w:spacing w:before="100" w:beforeAutospacing="1" w:after="100" w:afterAutospacing="1"/>
        <w:contextualSpacing w:val="0"/>
        <w:rPr>
          <w:rFonts w:cs="Times New Roman" w:hint="eastAsia"/>
          <w:kern w:val="0"/>
          <w14:ligatures w14:val="none"/>
        </w:rPr>
      </w:pPr>
      <w:r w:rsidRPr="00302FF5">
        <w:rPr>
          <w:rFonts w:eastAsia="Times New Roman" w:cs="Times New Roman"/>
          <w:kern w:val="0"/>
          <w14:ligatures w14:val="none"/>
        </w:rPr>
        <w:t>By linking microbial ecology, building science, and predictive modeling, this project seeks to develop a mechanistic and predictive framework for understanding how localized microbial populations may become persistent and spatially distributed indoor exposures. The framework will also be further evaluated for its relevance to environmental epidemiological surveillance.</w:t>
      </w:r>
    </w:p>
    <w:p w14:paraId="4E94894C" w14:textId="77777777" w:rsidR="00E65F25" w:rsidRPr="00E65F25" w:rsidRDefault="00E65F25" w:rsidP="00E65F25">
      <w:pPr>
        <w:snapToGrid/>
        <w:spacing w:before="100" w:beforeAutospacing="1" w:after="100" w:afterAutospacing="1"/>
        <w:contextualSpacing w:val="0"/>
        <w:outlineLvl w:val="2"/>
        <w:rPr>
          <w:rFonts w:eastAsia="Times New Roman" w:cs="Times New Roman"/>
          <w:b/>
          <w:bCs/>
          <w:kern w:val="0"/>
          <w14:ligatures w14:val="none"/>
        </w:rPr>
      </w:pPr>
      <w:r w:rsidRPr="00E65F25">
        <w:rPr>
          <w:rFonts w:eastAsia="Times New Roman" w:cs="Times New Roman"/>
          <w:b/>
          <w:bCs/>
          <w:kern w:val="0"/>
          <w14:ligatures w14:val="none"/>
        </w:rPr>
        <w:t>Deliverables</w:t>
      </w:r>
    </w:p>
    <w:p w14:paraId="33641448" w14:textId="6EF9C96A"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kern w:val="0"/>
          <w14:ligatures w14:val="none"/>
        </w:rPr>
        <w:t xml:space="preserve">Expected outcomes include a reproducible computational framework integrating microbial community data, ecological assembly models, environmental metadata, and predictive modeling; identification of ecological and environmental factors associated with microbial persistence and spatial distribution; and evaluation of whether ecological-process </w:t>
      </w:r>
      <w:r w:rsidR="00824E29">
        <w:rPr>
          <w:rFonts w:eastAsia="Times New Roman" w:cs="Times New Roman"/>
          <w:kern w:val="0"/>
          <w14:ligatures w14:val="none"/>
        </w:rPr>
        <w:t>modeling</w:t>
      </w:r>
      <w:r w:rsidRPr="00E65F25">
        <w:rPr>
          <w:rFonts w:eastAsia="Times New Roman" w:cs="Times New Roman"/>
          <w:kern w:val="0"/>
          <w14:ligatures w14:val="none"/>
        </w:rPr>
        <w:t xml:space="preserve"> improves prediction across indoor environments.</w:t>
      </w:r>
    </w:p>
    <w:p w14:paraId="216AE8AC" w14:textId="5AE2E633"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kern w:val="0"/>
          <w14:ligatures w14:val="none"/>
        </w:rPr>
        <w:t xml:space="preserve">The working group will also aim to develop transferable hypotheses for how indoor conditions influence microbial dispersal, produce at least one peer-reviewed publication, and provide recommendations for future indoor microbial and </w:t>
      </w:r>
      <w:r w:rsidR="00824E29">
        <w:rPr>
          <w:rFonts w:eastAsia="Times New Roman" w:cs="Times New Roman"/>
          <w:kern w:val="0"/>
          <w14:ligatures w14:val="none"/>
        </w:rPr>
        <w:t xml:space="preserve">epidemiological </w:t>
      </w:r>
      <w:r w:rsidRPr="00E65F25">
        <w:rPr>
          <w:rFonts w:eastAsia="Times New Roman" w:cs="Times New Roman"/>
          <w:kern w:val="0"/>
          <w14:ligatures w14:val="none"/>
        </w:rPr>
        <w:t>surveillance studies.</w:t>
      </w:r>
    </w:p>
    <w:p w14:paraId="1D6CD226" w14:textId="77777777" w:rsidR="00E65F25" w:rsidRPr="00E65F25" w:rsidRDefault="00E65F25" w:rsidP="00E65F25">
      <w:pPr>
        <w:snapToGrid/>
        <w:spacing w:before="100" w:beforeAutospacing="1" w:after="100" w:afterAutospacing="1"/>
        <w:contextualSpacing w:val="0"/>
        <w:outlineLvl w:val="2"/>
        <w:rPr>
          <w:rFonts w:eastAsia="Times New Roman" w:cs="Times New Roman"/>
          <w:b/>
          <w:bCs/>
          <w:kern w:val="0"/>
          <w14:ligatures w14:val="none"/>
        </w:rPr>
      </w:pPr>
      <w:r w:rsidRPr="00E65F25">
        <w:rPr>
          <w:rFonts w:eastAsia="Times New Roman" w:cs="Times New Roman"/>
          <w:b/>
          <w:bCs/>
          <w:kern w:val="0"/>
          <w14:ligatures w14:val="none"/>
        </w:rPr>
        <w:t>Policy implications</w:t>
      </w:r>
    </w:p>
    <w:p w14:paraId="72C6B01A"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kern w:val="0"/>
          <w14:ligatures w14:val="none"/>
        </w:rPr>
        <w:t>The project could help identify indoor environmental conditions that warrant enhanced microbial or pathogen surveillance and provide evidence for evaluating ventilation and building-management strategies during infectious-disease outbreaks.</w:t>
      </w:r>
    </w:p>
    <w:p w14:paraId="4B5ECD68" w14:textId="77777777" w:rsidR="00E65F25" w:rsidRPr="00E65F25" w:rsidRDefault="00E65F25" w:rsidP="00E65F25">
      <w:pPr>
        <w:snapToGrid/>
        <w:spacing w:before="100" w:beforeAutospacing="1" w:after="100" w:afterAutospacing="1"/>
        <w:contextualSpacing w:val="0"/>
        <w:outlineLvl w:val="2"/>
        <w:rPr>
          <w:rFonts w:eastAsia="Times New Roman" w:cs="Times New Roman"/>
          <w:b/>
          <w:bCs/>
          <w:kern w:val="0"/>
          <w14:ligatures w14:val="none"/>
        </w:rPr>
      </w:pPr>
      <w:r w:rsidRPr="00E65F25">
        <w:rPr>
          <w:rFonts w:eastAsia="Times New Roman" w:cs="Times New Roman"/>
          <w:b/>
          <w:bCs/>
          <w:kern w:val="0"/>
          <w14:ligatures w14:val="none"/>
        </w:rPr>
        <w:t>Disciplines / Expertise Required</w:t>
      </w:r>
    </w:p>
    <w:p w14:paraId="0EFAE148"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b/>
          <w:bCs/>
          <w:kern w:val="0"/>
          <w14:ligatures w14:val="none"/>
        </w:rPr>
        <w:t>Environmental Microbiology and Microbial Ecology</w:t>
      </w:r>
      <w:r w:rsidRPr="00E65F25">
        <w:rPr>
          <w:rFonts w:eastAsia="Times New Roman" w:cs="Times New Roman"/>
          <w:kern w:val="0"/>
          <w14:ligatures w14:val="none"/>
        </w:rPr>
        <w:br/>
        <w:t xml:space="preserve">To characterize microbial communities and apply community-assembly models such as NST and </w:t>
      </w:r>
      <w:proofErr w:type="spellStart"/>
      <w:r w:rsidRPr="00E65F25">
        <w:rPr>
          <w:rFonts w:eastAsia="Times New Roman" w:cs="Times New Roman"/>
          <w:kern w:val="0"/>
          <w14:ligatures w14:val="none"/>
        </w:rPr>
        <w:t>iCAMP</w:t>
      </w:r>
      <w:proofErr w:type="spellEnd"/>
      <w:r w:rsidRPr="00E65F25">
        <w:rPr>
          <w:rFonts w:eastAsia="Times New Roman" w:cs="Times New Roman"/>
          <w:kern w:val="0"/>
          <w14:ligatures w14:val="none"/>
        </w:rPr>
        <w:t xml:space="preserve"> to evaluate deterministic, stochastic, and dispersal-related ecological processes.</w:t>
      </w:r>
    </w:p>
    <w:p w14:paraId="49A13A1B"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b/>
          <w:bCs/>
          <w:kern w:val="0"/>
          <w14:ligatures w14:val="none"/>
        </w:rPr>
        <w:lastRenderedPageBreak/>
        <w:t>Building Science and Indoor Environmental Engineering</w:t>
      </w:r>
      <w:r w:rsidRPr="00E65F25">
        <w:rPr>
          <w:rFonts w:eastAsia="Times New Roman" w:cs="Times New Roman"/>
          <w:kern w:val="0"/>
          <w14:ligatures w14:val="none"/>
        </w:rPr>
        <w:br/>
        <w:t>To characterize ventilation, temperature, humidity, spatial connectivity, and occupancy and determine how these factors influence microbial persistence and movement across indoor spaces.</w:t>
      </w:r>
    </w:p>
    <w:p w14:paraId="493F0B6E"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b/>
          <w:bCs/>
          <w:kern w:val="0"/>
          <w14:ligatures w14:val="none"/>
        </w:rPr>
        <w:t>Machine Learning and Computational Modeling</w:t>
      </w:r>
      <w:r w:rsidRPr="00E65F25">
        <w:rPr>
          <w:rFonts w:eastAsia="Times New Roman" w:cs="Times New Roman"/>
          <w:kern w:val="0"/>
          <w14:ligatures w14:val="none"/>
        </w:rPr>
        <w:br/>
        <w:t>To develop and evaluate models integrating microbial, ecological, spatial, and environmental information and assess model transferability across buildings and datasets.</w:t>
      </w:r>
    </w:p>
    <w:p w14:paraId="12A64AD6"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b/>
          <w:bCs/>
          <w:kern w:val="0"/>
          <w14:ligatures w14:val="none"/>
        </w:rPr>
        <w:t>Bioinformatics and Microbiome Data Science</w:t>
      </w:r>
      <w:r w:rsidRPr="00E65F25">
        <w:rPr>
          <w:rFonts w:eastAsia="Times New Roman" w:cs="Times New Roman"/>
          <w:kern w:val="0"/>
          <w14:ligatures w14:val="none"/>
        </w:rPr>
        <w:br/>
        <w:t>To harmonize microbiome sequencing datasets and environmental metadata and develop reproducible analytical workflows across heterogeneous studies.</w:t>
      </w:r>
    </w:p>
    <w:p w14:paraId="1091BF59" w14:textId="77777777" w:rsidR="00E65F25" w:rsidRPr="00E65F25" w:rsidRDefault="00E65F25" w:rsidP="00E65F25">
      <w:pPr>
        <w:snapToGrid/>
        <w:spacing w:before="100" w:beforeAutospacing="1" w:after="100" w:afterAutospacing="1"/>
        <w:contextualSpacing w:val="0"/>
        <w:rPr>
          <w:rFonts w:eastAsia="Times New Roman" w:cs="Times New Roman"/>
          <w:kern w:val="0"/>
          <w14:ligatures w14:val="none"/>
        </w:rPr>
      </w:pPr>
      <w:r w:rsidRPr="00E65F25">
        <w:rPr>
          <w:rFonts w:eastAsia="Times New Roman" w:cs="Times New Roman"/>
          <w:b/>
          <w:bCs/>
          <w:kern w:val="0"/>
          <w14:ligatures w14:val="none"/>
        </w:rPr>
        <w:t>Infectious Disease Epidemiology and Environmental Surveillance</w:t>
      </w:r>
      <w:r w:rsidRPr="00E65F25">
        <w:rPr>
          <w:rFonts w:eastAsia="Times New Roman" w:cs="Times New Roman"/>
          <w:kern w:val="0"/>
          <w14:ligatures w14:val="none"/>
        </w:rPr>
        <w:br/>
        <w:t>To determine when microbial dispersal patterns are relevant to pathogen exposure and transmission and connect ecological findings with outbreak surveillance and public-health applications.</w:t>
      </w:r>
    </w:p>
    <w:p w14:paraId="60A33315" w14:textId="77777777" w:rsidR="004A4F04" w:rsidRDefault="004A4F04" w:rsidP="00E65F25"/>
    <w:sectPr w:rsidR="004A4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C86"/>
    <w:rsid w:val="0008109A"/>
    <w:rsid w:val="000B6F50"/>
    <w:rsid w:val="000D5319"/>
    <w:rsid w:val="002A0FB3"/>
    <w:rsid w:val="00302FF5"/>
    <w:rsid w:val="003612AA"/>
    <w:rsid w:val="00365CB2"/>
    <w:rsid w:val="00430CCC"/>
    <w:rsid w:val="004A4F04"/>
    <w:rsid w:val="00517FD6"/>
    <w:rsid w:val="008150DF"/>
    <w:rsid w:val="00824E29"/>
    <w:rsid w:val="008A5A5A"/>
    <w:rsid w:val="00E30BC1"/>
    <w:rsid w:val="00E65F25"/>
    <w:rsid w:val="00E67A0C"/>
    <w:rsid w:val="00EA3C86"/>
    <w:rsid w:val="00EF1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6CB77"/>
  <w15:chartTrackingRefBased/>
  <w15:docId w15:val="{25ABC11F-C2C3-4495-8B25-6E127B7A1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CB2"/>
    <w:pPr>
      <w:snapToGrid w:val="0"/>
      <w:spacing w:after="0" w:line="360" w:lineRule="auto"/>
      <w:contextualSpacing/>
    </w:pPr>
    <w:rPr>
      <w:rFonts w:ascii="Times New Roman" w:hAnsi="Times New Roman"/>
    </w:rPr>
  </w:style>
  <w:style w:type="paragraph" w:styleId="1">
    <w:name w:val="heading 1"/>
    <w:basedOn w:val="a"/>
    <w:next w:val="a"/>
    <w:link w:val="10"/>
    <w:uiPriority w:val="9"/>
    <w:qFormat/>
    <w:rsid w:val="00EA3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A3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A3C8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rsid w:val="00EA3C8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EA3C86"/>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EA3C8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A3C8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A3C8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A3C86"/>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3C86"/>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EA3C86"/>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EA3C86"/>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EA3C86"/>
    <w:rPr>
      <w:rFonts w:eastAsiaTheme="majorEastAsia" w:cstheme="majorBidi"/>
      <w:i/>
      <w:iCs/>
      <w:color w:val="0F4761" w:themeColor="accent1" w:themeShade="BF"/>
    </w:rPr>
  </w:style>
  <w:style w:type="character" w:customStyle="1" w:styleId="50">
    <w:name w:val="标题 5 字符"/>
    <w:basedOn w:val="a0"/>
    <w:link w:val="5"/>
    <w:uiPriority w:val="9"/>
    <w:semiHidden/>
    <w:rsid w:val="00EA3C86"/>
    <w:rPr>
      <w:rFonts w:eastAsiaTheme="majorEastAsia" w:cstheme="majorBidi"/>
      <w:color w:val="0F4761" w:themeColor="accent1" w:themeShade="BF"/>
    </w:rPr>
  </w:style>
  <w:style w:type="character" w:customStyle="1" w:styleId="60">
    <w:name w:val="标题 6 字符"/>
    <w:basedOn w:val="a0"/>
    <w:link w:val="6"/>
    <w:uiPriority w:val="9"/>
    <w:semiHidden/>
    <w:rsid w:val="00EA3C86"/>
    <w:rPr>
      <w:rFonts w:eastAsiaTheme="majorEastAsia" w:cstheme="majorBidi"/>
      <w:i/>
      <w:iCs/>
      <w:color w:val="595959" w:themeColor="text1" w:themeTint="A6"/>
    </w:rPr>
  </w:style>
  <w:style w:type="character" w:customStyle="1" w:styleId="70">
    <w:name w:val="标题 7 字符"/>
    <w:basedOn w:val="a0"/>
    <w:link w:val="7"/>
    <w:uiPriority w:val="9"/>
    <w:semiHidden/>
    <w:rsid w:val="00EA3C86"/>
    <w:rPr>
      <w:rFonts w:eastAsiaTheme="majorEastAsia" w:cstheme="majorBidi"/>
      <w:color w:val="595959" w:themeColor="text1" w:themeTint="A6"/>
    </w:rPr>
  </w:style>
  <w:style w:type="character" w:customStyle="1" w:styleId="80">
    <w:name w:val="标题 8 字符"/>
    <w:basedOn w:val="a0"/>
    <w:link w:val="8"/>
    <w:uiPriority w:val="9"/>
    <w:semiHidden/>
    <w:rsid w:val="00EA3C86"/>
    <w:rPr>
      <w:rFonts w:eastAsiaTheme="majorEastAsia" w:cstheme="majorBidi"/>
      <w:i/>
      <w:iCs/>
      <w:color w:val="272727" w:themeColor="text1" w:themeTint="D8"/>
    </w:rPr>
  </w:style>
  <w:style w:type="character" w:customStyle="1" w:styleId="90">
    <w:name w:val="标题 9 字符"/>
    <w:basedOn w:val="a0"/>
    <w:link w:val="9"/>
    <w:uiPriority w:val="9"/>
    <w:semiHidden/>
    <w:rsid w:val="00EA3C86"/>
    <w:rPr>
      <w:rFonts w:eastAsiaTheme="majorEastAsia" w:cstheme="majorBidi"/>
      <w:color w:val="272727" w:themeColor="text1" w:themeTint="D8"/>
    </w:rPr>
  </w:style>
  <w:style w:type="paragraph" w:styleId="a3">
    <w:name w:val="Title"/>
    <w:basedOn w:val="a"/>
    <w:next w:val="a"/>
    <w:link w:val="a4"/>
    <w:uiPriority w:val="10"/>
    <w:qFormat/>
    <w:rsid w:val="00EA3C86"/>
    <w:pPr>
      <w:spacing w:after="80" w:line="240" w:lineRule="auto"/>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3C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3C8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6">
    <w:name w:val="副标题 字符"/>
    <w:basedOn w:val="a0"/>
    <w:link w:val="a5"/>
    <w:uiPriority w:val="11"/>
    <w:rsid w:val="00EA3C8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A3C86"/>
    <w:pPr>
      <w:spacing w:before="160" w:after="160"/>
      <w:jc w:val="center"/>
    </w:pPr>
    <w:rPr>
      <w:i/>
      <w:iCs/>
      <w:color w:val="404040" w:themeColor="text1" w:themeTint="BF"/>
    </w:rPr>
  </w:style>
  <w:style w:type="character" w:customStyle="1" w:styleId="a8">
    <w:name w:val="引用 字符"/>
    <w:basedOn w:val="a0"/>
    <w:link w:val="a7"/>
    <w:uiPriority w:val="29"/>
    <w:rsid w:val="00EA3C86"/>
    <w:rPr>
      <w:rFonts w:ascii="Times New Roman" w:hAnsi="Times New Roman"/>
      <w:i/>
      <w:iCs/>
      <w:color w:val="404040" w:themeColor="text1" w:themeTint="BF"/>
    </w:rPr>
  </w:style>
  <w:style w:type="paragraph" w:styleId="a9">
    <w:name w:val="List Paragraph"/>
    <w:basedOn w:val="a"/>
    <w:uiPriority w:val="34"/>
    <w:qFormat/>
    <w:rsid w:val="00EA3C86"/>
    <w:pPr>
      <w:ind w:left="720"/>
    </w:pPr>
  </w:style>
  <w:style w:type="character" w:styleId="aa">
    <w:name w:val="Intense Emphasis"/>
    <w:basedOn w:val="a0"/>
    <w:uiPriority w:val="21"/>
    <w:qFormat/>
    <w:rsid w:val="00EA3C86"/>
    <w:rPr>
      <w:i/>
      <w:iCs/>
      <w:color w:val="0F4761" w:themeColor="accent1" w:themeShade="BF"/>
    </w:rPr>
  </w:style>
  <w:style w:type="paragraph" w:styleId="ab">
    <w:name w:val="Intense Quote"/>
    <w:basedOn w:val="a"/>
    <w:next w:val="a"/>
    <w:link w:val="ac"/>
    <w:uiPriority w:val="30"/>
    <w:qFormat/>
    <w:rsid w:val="00EA3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A3C86"/>
    <w:rPr>
      <w:rFonts w:ascii="Times New Roman" w:hAnsi="Times New Roman"/>
      <w:i/>
      <w:iCs/>
      <w:color w:val="0F4761" w:themeColor="accent1" w:themeShade="BF"/>
    </w:rPr>
  </w:style>
  <w:style w:type="character" w:styleId="ad">
    <w:name w:val="Intense Reference"/>
    <w:basedOn w:val="a0"/>
    <w:uiPriority w:val="32"/>
    <w:qFormat/>
    <w:rsid w:val="00EA3C86"/>
    <w:rPr>
      <w:b/>
      <w:bCs/>
      <w:smallCaps/>
      <w:color w:val="0F4761" w:themeColor="accent1" w:themeShade="BF"/>
      <w:spacing w:val="5"/>
    </w:rPr>
  </w:style>
  <w:style w:type="paragraph" w:styleId="ae">
    <w:name w:val="Revision"/>
    <w:hidden/>
    <w:uiPriority w:val="99"/>
    <w:semiHidden/>
    <w:rsid w:val="0008109A"/>
    <w:pPr>
      <w:spacing w:after="0" w:line="240" w:lineRule="auto"/>
    </w:pPr>
    <w:rPr>
      <w:rFonts w:ascii="Times New Roman" w:hAnsi="Times New Roman"/>
    </w:rPr>
  </w:style>
  <w:style w:type="paragraph" w:styleId="af">
    <w:name w:val="Normal (Web)"/>
    <w:basedOn w:val="a"/>
    <w:uiPriority w:val="99"/>
    <w:semiHidden/>
    <w:unhideWhenUsed/>
    <w:rsid w:val="00302FF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Xinghan Zhao</dc:creator>
  <cp:keywords/>
  <dc:description/>
  <cp:lastModifiedBy>Li, Rui</cp:lastModifiedBy>
  <cp:revision>6</cp:revision>
  <dcterms:created xsi:type="dcterms:W3CDTF">2026-09-22T06:56:00Z</dcterms:created>
  <dcterms:modified xsi:type="dcterms:W3CDTF">2026-09-22T16:03:00Z</dcterms:modified>
</cp:coreProperties>
</file>